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62"/>
        <w:tblW w:w="8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082"/>
        <w:gridCol w:w="4087"/>
      </w:tblGrid>
      <w:tr w:rsidR="001E003C" w:rsidRPr="00C21DCE" w:rsidTr="00B44B44">
        <w:trPr>
          <w:trHeight w:val="480"/>
        </w:trPr>
        <w:tc>
          <w:tcPr>
            <w:tcW w:w="1204" w:type="dxa"/>
            <w:vMerge w:val="restart"/>
            <w:shd w:val="clear" w:color="auto" w:fill="auto"/>
          </w:tcPr>
          <w:p w:rsidR="001E003C" w:rsidRPr="00C21DCE" w:rsidRDefault="00B8547B" w:rsidP="00B44B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-73660</wp:posOffset>
                  </wp:positionV>
                  <wp:extent cx="853440" cy="787400"/>
                  <wp:effectExtent l="0" t="0" r="3810" b="0"/>
                  <wp:wrapNone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32" t="32231" r="47086" b="28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9" w:type="dxa"/>
            <w:gridSpan w:val="2"/>
            <w:shd w:val="clear" w:color="auto" w:fill="auto"/>
          </w:tcPr>
          <w:p w:rsidR="001E003C" w:rsidRPr="00C21DCE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</w:pPr>
            <w:r w:rsidRPr="00C21DCE"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  <w:t>Associati.net</w:t>
            </w:r>
            <w:r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  <w:t xml:space="preserve"> </w:t>
            </w:r>
          </w:p>
        </w:tc>
      </w:tr>
      <w:tr w:rsidR="001E003C" w:rsidRPr="00C21DCE" w:rsidTr="00B44B44">
        <w:trPr>
          <w:trHeight w:val="480"/>
        </w:trPr>
        <w:tc>
          <w:tcPr>
            <w:tcW w:w="1204" w:type="dxa"/>
            <w:vMerge/>
            <w:shd w:val="clear" w:color="auto" w:fill="auto"/>
          </w:tcPr>
          <w:p w:rsidR="001E003C" w:rsidRPr="00C21DCE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7169" w:type="dxa"/>
            <w:gridSpan w:val="2"/>
            <w:shd w:val="clear" w:color="auto" w:fill="auto"/>
          </w:tcPr>
          <w:p w:rsidR="001E003C" w:rsidRPr="00F106B5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</w:pPr>
            <w:r w:rsidRPr="00F106B5"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  <w:t>Società tra professionisti</w:t>
            </w:r>
          </w:p>
          <w:p w:rsidR="001E003C" w:rsidRPr="00F106B5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</w:pPr>
            <w:r w:rsidRPr="00F106B5">
              <w:rPr>
                <w:rFonts w:ascii="Cambria" w:eastAsia="Times New Roman" w:hAnsi="Cambria" w:cs="Arial"/>
                <w:color w:val="000000"/>
                <w:sz w:val="28"/>
                <w:szCs w:val="40"/>
                <w:lang w:eastAsia="it-IT"/>
              </w:rPr>
              <w:t>Servizi contabili, fiscali e paghe</w:t>
            </w:r>
          </w:p>
        </w:tc>
      </w:tr>
      <w:tr w:rsidR="001E003C" w:rsidRPr="00C21DCE" w:rsidTr="00B44B44">
        <w:trPr>
          <w:trHeight w:val="127"/>
        </w:trPr>
        <w:tc>
          <w:tcPr>
            <w:tcW w:w="8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003C" w:rsidRPr="004D64BD" w:rsidRDefault="001E003C" w:rsidP="00B44B4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4"/>
                <w:szCs w:val="24"/>
                <w:lang w:eastAsia="it-IT"/>
              </w:rPr>
            </w:pPr>
          </w:p>
        </w:tc>
      </w:tr>
      <w:tr w:rsidR="001E003C" w:rsidRPr="00C21DCE" w:rsidTr="00B44B44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E003C" w:rsidRPr="00C21DCE" w:rsidRDefault="001E003C" w:rsidP="00B44B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  <w:r w:rsidRPr="00C21DCE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>33170 Pordenone, Via Ospedale Vecchio n. 3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3C" w:rsidRPr="00C21DCE" w:rsidRDefault="001E003C" w:rsidP="00B44B44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C21DCE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Tel +39 0434 20094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 xml:space="preserve"> (centralino unico)</w:t>
            </w:r>
          </w:p>
        </w:tc>
      </w:tr>
      <w:tr w:rsidR="001E003C" w:rsidRPr="00C21DCE" w:rsidTr="00B3346C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  <w:hideMark/>
          </w:tcPr>
          <w:p w:rsidR="001E003C" w:rsidRPr="00C21DCE" w:rsidRDefault="001E003C" w:rsidP="00B44B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>33078 San Vito al T. (PN</w:t>
            </w:r>
            <w:r w:rsidRPr="00C21DCE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 xml:space="preserve">), Via Altan n. 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  <w:t>37/1</w:t>
            </w: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1E003C" w:rsidRPr="00C21DCE" w:rsidRDefault="00B3346C" w:rsidP="00B44B44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C21DCE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 xml:space="preserve">Fax +39 0434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874254 (sede San Vito)</w:t>
            </w:r>
          </w:p>
        </w:tc>
      </w:tr>
      <w:tr w:rsidR="00B3346C" w:rsidRPr="00C21DCE" w:rsidTr="00B44B44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</w:tcPr>
          <w:p w:rsidR="00B3346C" w:rsidRDefault="00B3346C" w:rsidP="00B334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  <w:r w:rsidRPr="00F106B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www.associati.net</w:t>
            </w: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B3346C" w:rsidRPr="00C21DCE" w:rsidRDefault="00B3346C" w:rsidP="00B3346C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studio@associati.net</w:t>
            </w:r>
          </w:p>
        </w:tc>
      </w:tr>
      <w:tr w:rsidR="00B3346C" w:rsidRPr="00C21DCE" w:rsidTr="00B44B44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</w:tcPr>
          <w:p w:rsidR="00B3346C" w:rsidRPr="00C21DCE" w:rsidRDefault="00B3346C" w:rsidP="00B334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B3346C" w:rsidRPr="00C21DCE" w:rsidRDefault="00B3346C" w:rsidP="00B3346C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</w:p>
        </w:tc>
      </w:tr>
      <w:tr w:rsidR="00B3346C" w:rsidRPr="00C21DCE" w:rsidTr="00B44B44">
        <w:trPr>
          <w:trHeight w:val="255"/>
        </w:trPr>
        <w:tc>
          <w:tcPr>
            <w:tcW w:w="4286" w:type="dxa"/>
            <w:gridSpan w:val="2"/>
            <w:shd w:val="clear" w:color="auto" w:fill="auto"/>
            <w:vAlign w:val="bottom"/>
          </w:tcPr>
          <w:p w:rsidR="00B3346C" w:rsidRDefault="00B3346C" w:rsidP="00B3346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B3346C" w:rsidRPr="00072B2D" w:rsidRDefault="00B3346C" w:rsidP="00B3346C">
            <w:pPr>
              <w:spacing w:after="0" w:line="240" w:lineRule="auto"/>
              <w:ind w:left="-72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</w:p>
        </w:tc>
      </w:tr>
    </w:tbl>
    <w:p w:rsidR="00DB0A5C" w:rsidRPr="00072B2D" w:rsidRDefault="00DB0A5C" w:rsidP="00783181">
      <w:pPr>
        <w:spacing w:after="0" w:line="240" w:lineRule="auto"/>
      </w:pPr>
    </w:p>
    <w:p w:rsidR="006E5FB7" w:rsidRDefault="006E5FB7" w:rsidP="00783181">
      <w:pPr>
        <w:spacing w:after="0" w:line="240" w:lineRule="auto"/>
      </w:pPr>
    </w:p>
    <w:p w:rsidR="006E5FB7" w:rsidRPr="006E5FB7" w:rsidRDefault="006E5FB7" w:rsidP="006E5FB7"/>
    <w:p w:rsidR="006E5FB7" w:rsidRPr="006E5FB7" w:rsidRDefault="006E5FB7" w:rsidP="006E5FB7"/>
    <w:p w:rsidR="006E5FB7" w:rsidRPr="006E5FB7" w:rsidRDefault="006E5FB7" w:rsidP="006E5FB7"/>
    <w:p w:rsidR="001B5BEA" w:rsidRPr="0099562A" w:rsidRDefault="001B5BEA" w:rsidP="001B5BEA">
      <w:pPr>
        <w:pStyle w:val="Default"/>
        <w:rPr>
          <w:rFonts w:ascii="Verdana" w:hAnsi="Verdana"/>
          <w:b/>
          <w:color w:val="auto"/>
          <w:sz w:val="40"/>
          <w:szCs w:val="20"/>
          <w:lang w:eastAsia="x-none"/>
        </w:rPr>
      </w:pPr>
    </w:p>
    <w:p w:rsidR="00EB2EF8" w:rsidRP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</w:p>
    <w:p w:rsidR="00EB2EF8" w:rsidRP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  <w:r>
        <w:rPr>
          <w:rFonts w:ascii="Verdana" w:hAnsi="Verdana"/>
          <w:b/>
          <w:color w:val="auto"/>
          <w:sz w:val="40"/>
          <w:szCs w:val="20"/>
          <w:lang w:eastAsia="x-none"/>
        </w:rPr>
        <w:t>Proroga dei t</w:t>
      </w:r>
      <w:r w:rsidRPr="00EB2EF8">
        <w:rPr>
          <w:rFonts w:ascii="Verdana" w:hAnsi="Verdana"/>
          <w:b/>
          <w:color w:val="auto"/>
          <w:sz w:val="40"/>
          <w:szCs w:val="20"/>
          <w:lang w:eastAsia="x-none"/>
        </w:rPr>
        <w:t xml:space="preserve">ermini </w:t>
      </w:r>
      <w:r w:rsidR="00155CE5">
        <w:rPr>
          <w:rFonts w:ascii="Verdana" w:hAnsi="Verdana"/>
          <w:b/>
          <w:color w:val="auto"/>
          <w:sz w:val="40"/>
          <w:szCs w:val="20"/>
          <w:lang w:eastAsia="x-none"/>
        </w:rPr>
        <w:t>l’adeguamento degli statuti degli enti del terzo settore (ETS)</w:t>
      </w:r>
    </w:p>
    <w:p w:rsid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  <w:r w:rsidRPr="00EB2EF8">
        <w:rPr>
          <w:rFonts w:ascii="Verdana" w:hAnsi="Verdana"/>
          <w:b/>
          <w:color w:val="auto"/>
          <w:sz w:val="40"/>
          <w:szCs w:val="20"/>
          <w:lang w:eastAsia="x-none"/>
        </w:rPr>
        <w:t xml:space="preserve">   </w:t>
      </w:r>
    </w:p>
    <w:p w:rsidR="00EB2EF8" w:rsidRP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  <w:r w:rsidRPr="00EB2EF8">
        <w:rPr>
          <w:rFonts w:ascii="Verdana" w:hAnsi="Verdana"/>
          <w:b/>
          <w:color w:val="auto"/>
          <w:sz w:val="40"/>
          <w:szCs w:val="20"/>
          <w:lang w:eastAsia="x-none"/>
        </w:rPr>
        <w:t xml:space="preserve">  </w:t>
      </w:r>
    </w:p>
    <w:p w:rsidR="00EB2EF8" w:rsidRPr="00EB2EF8" w:rsidRDefault="00EB2EF8" w:rsidP="00EB2EF8">
      <w:pPr>
        <w:pStyle w:val="Default"/>
        <w:jc w:val="center"/>
        <w:rPr>
          <w:rFonts w:ascii="Verdana" w:hAnsi="Verdana"/>
          <w:b/>
          <w:color w:val="auto"/>
          <w:sz w:val="40"/>
          <w:szCs w:val="20"/>
          <w:lang w:eastAsia="x-none"/>
        </w:rPr>
      </w:pPr>
    </w:p>
    <w:p w:rsidR="00155CE5" w:rsidRDefault="00EB2EF8" w:rsidP="00EB2EF8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EB2EF8">
        <w:rPr>
          <w:rFonts w:ascii="Verdana" w:hAnsi="Verdana"/>
          <w:bCs/>
          <w:color w:val="auto"/>
          <w:szCs w:val="12"/>
          <w:lang w:eastAsia="x-none"/>
        </w:rPr>
        <w:t xml:space="preserve">Un emendamento apposto in sede di conversione del "DL crescita" propone di </w:t>
      </w:r>
      <w:r w:rsidR="00155CE5">
        <w:rPr>
          <w:rFonts w:ascii="Verdana" w:hAnsi="Verdana"/>
          <w:bCs/>
          <w:color w:val="auto"/>
          <w:szCs w:val="12"/>
          <w:lang w:eastAsia="x-none"/>
        </w:rPr>
        <w:t>prorogare</w:t>
      </w:r>
      <w:r w:rsidRPr="00EB2EF8">
        <w:rPr>
          <w:rFonts w:ascii="Verdana" w:hAnsi="Verdana"/>
          <w:bCs/>
          <w:color w:val="auto"/>
          <w:szCs w:val="12"/>
          <w:lang w:eastAsia="x-none"/>
        </w:rPr>
        <w:t xml:space="preserve"> i termini per l</w:t>
      </w:r>
      <w:r w:rsidR="00155CE5">
        <w:rPr>
          <w:rFonts w:ascii="Verdana" w:hAnsi="Verdana"/>
          <w:bCs/>
          <w:color w:val="auto"/>
          <w:szCs w:val="12"/>
          <w:lang w:eastAsia="x-none"/>
        </w:rPr>
        <w:t>’adeguamento degli statuti degli enti del terzo settore (ETS) a febbraio 2020.</w:t>
      </w:r>
    </w:p>
    <w:p w:rsidR="00155CE5" w:rsidRDefault="00155CE5" w:rsidP="00EB2EF8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>
        <w:rPr>
          <w:rFonts w:ascii="Verdana" w:hAnsi="Verdana"/>
          <w:bCs/>
          <w:color w:val="auto"/>
          <w:szCs w:val="12"/>
          <w:lang w:eastAsia="x-none"/>
        </w:rPr>
        <w:t>Ci sarà dunque più tempo per rispettare le nuove e stringenti disposizioni previste dalla riforma degli ETS, gli enti del settore no profit:</w:t>
      </w:r>
    </w:p>
    <w:p w:rsidR="00155CE5" w:rsidRP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 xml:space="preserve">– ODV (Organizzazione di Volontariato), </w:t>
      </w:r>
    </w:p>
    <w:p w:rsidR="00155CE5" w:rsidRP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 xml:space="preserve">– APS (Associazione di Promozione Sociale), </w:t>
      </w:r>
    </w:p>
    <w:p w:rsidR="00155CE5" w:rsidRP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 xml:space="preserve">– Enti filantropici, </w:t>
      </w:r>
    </w:p>
    <w:p w:rsidR="00155CE5" w:rsidRP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 xml:space="preserve">– Imprese Sociali (incluse le cooperative sociali), </w:t>
      </w:r>
    </w:p>
    <w:p w:rsidR="00155CE5" w:rsidRP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 xml:space="preserve">– Reti Associative, </w:t>
      </w:r>
    </w:p>
    <w:p w:rsidR="00155CE5" w:rsidRP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 xml:space="preserve">– Società di Mutuo Soccorso, </w:t>
      </w:r>
    </w:p>
    <w:p w:rsidR="00155CE5" w:rsidRP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 xml:space="preserve">– Associazioni riconosciute e non, </w:t>
      </w:r>
    </w:p>
    <w:p w:rsidR="00155CE5" w:rsidRDefault="00155CE5" w:rsidP="00155CE5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 w:rsidRPr="00155CE5">
        <w:rPr>
          <w:rFonts w:ascii="Verdana" w:hAnsi="Verdana"/>
          <w:bCs/>
          <w:color w:val="auto"/>
          <w:szCs w:val="12"/>
          <w:lang w:eastAsia="x-none"/>
        </w:rPr>
        <w:t>– Fondazioni e altri enti di carattere privato.</w:t>
      </w:r>
    </w:p>
    <w:p w:rsidR="00EB2EF8" w:rsidRDefault="00EB2EF8" w:rsidP="00EB2EF8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</w:p>
    <w:p w:rsidR="00EB2EF8" w:rsidRPr="00EB2EF8" w:rsidRDefault="00EB2EF8" w:rsidP="00EB2EF8">
      <w:pPr>
        <w:pStyle w:val="Default"/>
        <w:spacing w:line="360" w:lineRule="auto"/>
        <w:jc w:val="both"/>
        <w:rPr>
          <w:rFonts w:ascii="Verdana" w:hAnsi="Verdana"/>
          <w:bCs/>
          <w:color w:val="auto"/>
          <w:szCs w:val="12"/>
          <w:lang w:eastAsia="x-none"/>
        </w:rPr>
      </w:pPr>
      <w:r>
        <w:rPr>
          <w:rFonts w:ascii="Verdana" w:hAnsi="Verdana"/>
          <w:bCs/>
          <w:color w:val="auto"/>
          <w:szCs w:val="12"/>
          <w:lang w:eastAsia="x-none"/>
        </w:rPr>
        <w:t>Maggiori e più dettagliate informazioni saranno disponibili presso i nostri uffici dopo la conversione del DL, che è prevista per</w:t>
      </w:r>
      <w:bookmarkStart w:id="0" w:name="_GoBack"/>
      <w:bookmarkEnd w:id="0"/>
      <w:r>
        <w:rPr>
          <w:rFonts w:ascii="Verdana" w:hAnsi="Verdana"/>
          <w:bCs/>
          <w:color w:val="auto"/>
          <w:szCs w:val="12"/>
          <w:lang w:eastAsia="x-none"/>
        </w:rPr>
        <w:t xml:space="preserve"> fine giugno/inizio luglio.</w:t>
      </w:r>
    </w:p>
    <w:sectPr w:rsidR="00EB2EF8" w:rsidRPr="00EB2EF8" w:rsidSect="006E5FB7">
      <w:footerReference w:type="default" r:id="rId9"/>
      <w:pgSz w:w="11906" w:h="16838"/>
      <w:pgMar w:top="1134" w:right="1134" w:bottom="1134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EA" w:rsidRDefault="001B5BEA" w:rsidP="00A35568">
      <w:pPr>
        <w:spacing w:after="0" w:line="240" w:lineRule="auto"/>
      </w:pPr>
      <w:r>
        <w:separator/>
      </w:r>
    </w:p>
  </w:endnote>
  <w:endnote w:type="continuationSeparator" w:id="0">
    <w:p w:rsidR="001B5BEA" w:rsidRDefault="001B5BEA" w:rsidP="00A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568" w:rsidRPr="00F106B5" w:rsidRDefault="00A35568" w:rsidP="00A35568">
    <w:pPr>
      <w:pStyle w:val="Pidipagina"/>
      <w:jc w:val="center"/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EA" w:rsidRDefault="001B5BEA" w:rsidP="00A35568">
      <w:pPr>
        <w:spacing w:after="0" w:line="240" w:lineRule="auto"/>
      </w:pPr>
      <w:r>
        <w:separator/>
      </w:r>
    </w:p>
  </w:footnote>
  <w:footnote w:type="continuationSeparator" w:id="0">
    <w:p w:rsidR="001B5BEA" w:rsidRDefault="001B5BEA" w:rsidP="00A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903"/>
    <w:multiLevelType w:val="hybridMultilevel"/>
    <w:tmpl w:val="AFB8A692"/>
    <w:lvl w:ilvl="0" w:tplc="19A88D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266"/>
    <w:multiLevelType w:val="hybridMultilevel"/>
    <w:tmpl w:val="8A26436C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5EBD"/>
    <w:multiLevelType w:val="hybridMultilevel"/>
    <w:tmpl w:val="1CB4AD84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76D6"/>
    <w:multiLevelType w:val="hybridMultilevel"/>
    <w:tmpl w:val="28CEE8BC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09A8"/>
    <w:multiLevelType w:val="hybridMultilevel"/>
    <w:tmpl w:val="2DA6BE6E"/>
    <w:lvl w:ilvl="0" w:tplc="43382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1D9C"/>
    <w:multiLevelType w:val="hybridMultilevel"/>
    <w:tmpl w:val="0EC01CD2"/>
    <w:lvl w:ilvl="0" w:tplc="AD541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145C"/>
    <w:multiLevelType w:val="hybridMultilevel"/>
    <w:tmpl w:val="666E189A"/>
    <w:lvl w:ilvl="0" w:tplc="43382204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D782899"/>
    <w:multiLevelType w:val="hybridMultilevel"/>
    <w:tmpl w:val="1C56542A"/>
    <w:lvl w:ilvl="0" w:tplc="4338220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67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EA"/>
    <w:rsid w:val="00052071"/>
    <w:rsid w:val="0005627C"/>
    <w:rsid w:val="000616D8"/>
    <w:rsid w:val="0006707A"/>
    <w:rsid w:val="00072B2D"/>
    <w:rsid w:val="00085821"/>
    <w:rsid w:val="0009286F"/>
    <w:rsid w:val="000D7D0B"/>
    <w:rsid w:val="000F1B22"/>
    <w:rsid w:val="001333DB"/>
    <w:rsid w:val="00155CE5"/>
    <w:rsid w:val="00162714"/>
    <w:rsid w:val="001958C3"/>
    <w:rsid w:val="001A5949"/>
    <w:rsid w:val="001B5BEA"/>
    <w:rsid w:val="001C780B"/>
    <w:rsid w:val="001E003C"/>
    <w:rsid w:val="0020662E"/>
    <w:rsid w:val="00263725"/>
    <w:rsid w:val="002C7C7B"/>
    <w:rsid w:val="003043C8"/>
    <w:rsid w:val="00323B5B"/>
    <w:rsid w:val="003330FC"/>
    <w:rsid w:val="003A61FA"/>
    <w:rsid w:val="003C0FC9"/>
    <w:rsid w:val="004036DB"/>
    <w:rsid w:val="0048458D"/>
    <w:rsid w:val="004D64BD"/>
    <w:rsid w:val="0057538C"/>
    <w:rsid w:val="00592E7A"/>
    <w:rsid w:val="005C77B0"/>
    <w:rsid w:val="005D75DE"/>
    <w:rsid w:val="006078A9"/>
    <w:rsid w:val="00672C28"/>
    <w:rsid w:val="00673F7B"/>
    <w:rsid w:val="006E5FB7"/>
    <w:rsid w:val="00713222"/>
    <w:rsid w:val="00715E1A"/>
    <w:rsid w:val="00783181"/>
    <w:rsid w:val="00791432"/>
    <w:rsid w:val="007931A1"/>
    <w:rsid w:val="00795617"/>
    <w:rsid w:val="007D2203"/>
    <w:rsid w:val="007E0A65"/>
    <w:rsid w:val="0086122E"/>
    <w:rsid w:val="008616F0"/>
    <w:rsid w:val="0086498E"/>
    <w:rsid w:val="008A0F9B"/>
    <w:rsid w:val="00954083"/>
    <w:rsid w:val="009975BE"/>
    <w:rsid w:val="009A53D8"/>
    <w:rsid w:val="009B1CF3"/>
    <w:rsid w:val="00A07789"/>
    <w:rsid w:val="00A31B49"/>
    <w:rsid w:val="00A35568"/>
    <w:rsid w:val="00A72A13"/>
    <w:rsid w:val="00A74B50"/>
    <w:rsid w:val="00AE340C"/>
    <w:rsid w:val="00AF0A44"/>
    <w:rsid w:val="00AF1861"/>
    <w:rsid w:val="00AF6DC1"/>
    <w:rsid w:val="00B03DD0"/>
    <w:rsid w:val="00B11F82"/>
    <w:rsid w:val="00B3346C"/>
    <w:rsid w:val="00B37207"/>
    <w:rsid w:val="00B44B44"/>
    <w:rsid w:val="00B536E9"/>
    <w:rsid w:val="00B65E19"/>
    <w:rsid w:val="00B8547B"/>
    <w:rsid w:val="00BA3436"/>
    <w:rsid w:val="00BA5990"/>
    <w:rsid w:val="00BB2AA4"/>
    <w:rsid w:val="00BD5ADD"/>
    <w:rsid w:val="00C21DCE"/>
    <w:rsid w:val="00C22DAE"/>
    <w:rsid w:val="00C70934"/>
    <w:rsid w:val="00C70CF3"/>
    <w:rsid w:val="00C80377"/>
    <w:rsid w:val="00CA7B74"/>
    <w:rsid w:val="00CD3504"/>
    <w:rsid w:val="00CE77F4"/>
    <w:rsid w:val="00D4323C"/>
    <w:rsid w:val="00D43F14"/>
    <w:rsid w:val="00D8784C"/>
    <w:rsid w:val="00DA56F1"/>
    <w:rsid w:val="00DB0A5C"/>
    <w:rsid w:val="00DB3567"/>
    <w:rsid w:val="00DB4566"/>
    <w:rsid w:val="00DF6597"/>
    <w:rsid w:val="00E21CA3"/>
    <w:rsid w:val="00E22C00"/>
    <w:rsid w:val="00E27652"/>
    <w:rsid w:val="00E33576"/>
    <w:rsid w:val="00E4106F"/>
    <w:rsid w:val="00E7360E"/>
    <w:rsid w:val="00EA53F4"/>
    <w:rsid w:val="00EB2EF8"/>
    <w:rsid w:val="00EB4E0A"/>
    <w:rsid w:val="00EE5AA5"/>
    <w:rsid w:val="00F0364C"/>
    <w:rsid w:val="00F106B5"/>
    <w:rsid w:val="00F55173"/>
    <w:rsid w:val="00F7425A"/>
    <w:rsid w:val="00F90AB6"/>
    <w:rsid w:val="00F97B0F"/>
    <w:rsid w:val="00FD240B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29417"/>
  <w15:chartTrackingRefBased/>
  <w15:docId w15:val="{C2881EF0-83E0-4C41-9EAC-42C25DA7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A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B5BE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0A5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5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A355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5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A35568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072B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B5BEA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1B5BE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paragraph" w:styleId="Titolo">
    <w:name w:val="Title"/>
    <w:aliases w:val=" Carattere,Carattere,Tipo scheda"/>
    <w:basedOn w:val="Normale"/>
    <w:next w:val="Normale"/>
    <w:link w:val="TitoloCarattere"/>
    <w:qFormat/>
    <w:rsid w:val="001B5B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aliases w:val=" Carattere Carattere,Carattere Carattere,Tipo scheda Carattere"/>
    <w:basedOn w:val="Carpredefinitoparagrafo"/>
    <w:link w:val="Titolo"/>
    <w:rsid w:val="001B5BEA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unhideWhenUsed/>
    <w:rsid w:val="001B5B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5BE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5BEA"/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4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9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1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8823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531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53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50\DocumentiOffice\CARTA%20INTESTATA\MODELLO%20LETTERA%20ASSOCIATI.NET%20release%2011.03.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42C7-14C4-436B-92F7-8ACD1521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ASSOCIATI.NET release 11.03.2019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Gregoris</dc:creator>
  <cp:keywords/>
  <cp:lastModifiedBy>Francesco Gregoris</cp:lastModifiedBy>
  <cp:revision>4</cp:revision>
  <cp:lastPrinted>2014-02-08T10:54:00Z</cp:lastPrinted>
  <dcterms:created xsi:type="dcterms:W3CDTF">2019-06-26T14:02:00Z</dcterms:created>
  <dcterms:modified xsi:type="dcterms:W3CDTF">2019-06-26T14:11:00Z</dcterms:modified>
</cp:coreProperties>
</file>